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C87" w:rsidRDefault="00A67C87" w:rsidP="00480E90">
      <w:pPr>
        <w:rPr>
          <w:rFonts w:ascii="Times New Roman" w:hAnsi="Times New Roman" w:cs="Times New Roman"/>
          <w:sz w:val="24"/>
          <w:szCs w:val="24"/>
        </w:rPr>
      </w:pPr>
      <w:r>
        <w:rPr>
          <w:rFonts w:ascii="Times New Roman" w:hAnsi="Times New Roman" w:cs="Times New Roman"/>
          <w:sz w:val="24"/>
          <w:szCs w:val="24"/>
        </w:rPr>
        <w:t>Students name:</w:t>
      </w:r>
    </w:p>
    <w:p w:rsidR="00A67C87" w:rsidRDefault="00A67C87" w:rsidP="00480E90">
      <w:pPr>
        <w:rPr>
          <w:rFonts w:ascii="Times New Roman" w:hAnsi="Times New Roman" w:cs="Times New Roman"/>
          <w:sz w:val="24"/>
          <w:szCs w:val="24"/>
        </w:rPr>
      </w:pPr>
      <w:r>
        <w:rPr>
          <w:rFonts w:ascii="Times New Roman" w:hAnsi="Times New Roman" w:cs="Times New Roman"/>
          <w:sz w:val="24"/>
          <w:szCs w:val="24"/>
        </w:rPr>
        <w:t>Institutional affiliation:</w:t>
      </w:r>
    </w:p>
    <w:p w:rsidR="00A67C87" w:rsidRPr="008216B0" w:rsidRDefault="00A67C87" w:rsidP="00480E90">
      <w:pPr>
        <w:rPr>
          <w:rFonts w:ascii="Times New Roman" w:hAnsi="Times New Roman" w:cs="Times New Roman"/>
          <w:sz w:val="24"/>
          <w:szCs w:val="24"/>
        </w:rPr>
      </w:pPr>
      <w:r>
        <w:rPr>
          <w:rFonts w:ascii="Times New Roman" w:hAnsi="Times New Roman" w:cs="Times New Roman"/>
          <w:sz w:val="24"/>
          <w:szCs w:val="24"/>
        </w:rPr>
        <w:t>Due date:</w:t>
      </w:r>
    </w:p>
    <w:p w:rsidR="00480E90" w:rsidRDefault="00480E90" w:rsidP="00480E90">
      <w:pPr>
        <w:jc w:val="center"/>
        <w:rPr>
          <w:rFonts w:ascii="Times New Roman" w:hAnsi="Times New Roman" w:cs="Times New Roman"/>
          <w:sz w:val="24"/>
          <w:szCs w:val="24"/>
        </w:rPr>
      </w:pPr>
      <w:r w:rsidRPr="008216B0">
        <w:rPr>
          <w:rFonts w:ascii="Times New Roman" w:hAnsi="Times New Roman" w:cs="Times New Roman"/>
          <w:sz w:val="24"/>
          <w:szCs w:val="24"/>
        </w:rPr>
        <w:t>Intergenerational trauma of civil war in the US</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Introduction</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 xml:space="preserve">Intergenerational trauma may be defined as the manner n which trauma encountered by a particular generation is transmitted to the next generation by affecting their health and well being in the future. The effects may include psychiatric symptoms and even being vulnerable to stress. Civil wars refer to wars between interrelated groups who may be from the same </w:t>
      </w:r>
      <w:r w:rsidR="00BF4E3D">
        <w:rPr>
          <w:rFonts w:ascii="Times New Roman" w:hAnsi="Times New Roman" w:cs="Times New Roman"/>
          <w:sz w:val="24"/>
          <w:szCs w:val="24"/>
        </w:rPr>
        <w:t xml:space="preserve">country. There has been </w:t>
      </w:r>
      <w:r w:rsidR="009F11F2">
        <w:rPr>
          <w:rFonts w:ascii="Times New Roman" w:hAnsi="Times New Roman" w:cs="Times New Roman"/>
          <w:sz w:val="24"/>
          <w:szCs w:val="24"/>
        </w:rPr>
        <w:t>a worry</w:t>
      </w:r>
      <w:r w:rsidR="00BF4E3D">
        <w:rPr>
          <w:rFonts w:ascii="Times New Roman" w:hAnsi="Times New Roman" w:cs="Times New Roman"/>
          <w:sz w:val="24"/>
          <w:szCs w:val="24"/>
        </w:rPr>
        <w:t xml:space="preserve"> </w:t>
      </w:r>
      <w:r w:rsidR="00A42026">
        <w:rPr>
          <w:rFonts w:ascii="Times New Roman" w:hAnsi="Times New Roman" w:cs="Times New Roman"/>
          <w:sz w:val="24"/>
          <w:szCs w:val="24"/>
        </w:rPr>
        <w:t>that health can be passed</w:t>
      </w:r>
      <w:r w:rsidR="00651EAA">
        <w:rPr>
          <w:rFonts w:ascii="Times New Roman" w:hAnsi="Times New Roman" w:cs="Times New Roman"/>
          <w:sz w:val="24"/>
          <w:szCs w:val="24"/>
        </w:rPr>
        <w:t xml:space="preserve"> to future age groups </w:t>
      </w:r>
      <w:r w:rsidRPr="008216B0">
        <w:rPr>
          <w:rFonts w:ascii="Times New Roman" w:hAnsi="Times New Roman" w:cs="Times New Roman"/>
          <w:sz w:val="24"/>
          <w:szCs w:val="24"/>
        </w:rPr>
        <w:t>w</w:t>
      </w:r>
      <w:r w:rsidR="009F11F2">
        <w:rPr>
          <w:rFonts w:ascii="Times New Roman" w:hAnsi="Times New Roman" w:cs="Times New Roman"/>
          <w:sz w:val="24"/>
          <w:szCs w:val="24"/>
        </w:rPr>
        <w:t xml:space="preserve">hich may lead to consistent </w:t>
      </w:r>
      <w:r w:rsidR="001920F3">
        <w:rPr>
          <w:rFonts w:ascii="Times New Roman" w:hAnsi="Times New Roman" w:cs="Times New Roman"/>
          <w:sz w:val="24"/>
          <w:szCs w:val="24"/>
        </w:rPr>
        <w:t xml:space="preserve">socioeconomic status and </w:t>
      </w:r>
      <w:r w:rsidR="009F11F2">
        <w:rPr>
          <w:rFonts w:ascii="Times New Roman" w:hAnsi="Times New Roman" w:cs="Times New Roman"/>
          <w:sz w:val="24"/>
          <w:szCs w:val="24"/>
        </w:rPr>
        <w:t>adverse</w:t>
      </w:r>
      <w:r w:rsidR="001920F3">
        <w:rPr>
          <w:rFonts w:ascii="Times New Roman" w:hAnsi="Times New Roman" w:cs="Times New Roman"/>
          <w:sz w:val="24"/>
          <w:szCs w:val="24"/>
        </w:rPr>
        <w:t xml:space="preserve"> health</w:t>
      </w:r>
      <w:r w:rsidRPr="008216B0">
        <w:rPr>
          <w:rFonts w:ascii="Times New Roman" w:hAnsi="Times New Roman" w:cs="Times New Roman"/>
          <w:sz w:val="24"/>
          <w:szCs w:val="24"/>
        </w:rPr>
        <w:t xml:space="preserve"> in </w:t>
      </w:r>
      <w:r w:rsidR="00356687">
        <w:rPr>
          <w:rFonts w:ascii="Times New Roman" w:hAnsi="Times New Roman" w:cs="Times New Roman"/>
          <w:sz w:val="24"/>
          <w:szCs w:val="24"/>
        </w:rPr>
        <w:t>households</w:t>
      </w:r>
      <w:r w:rsidR="00FA26D2" w:rsidRPr="00FA26D2">
        <w:rPr>
          <w:rFonts w:ascii="Times New Roman" w:hAnsi="Times New Roman" w:cs="Times New Roman"/>
          <w:color w:val="222222"/>
          <w:sz w:val="24"/>
          <w:szCs w:val="24"/>
          <w:shd w:val="clear" w:color="auto" w:fill="FFFFFF"/>
        </w:rPr>
        <w:t xml:space="preserve"> </w:t>
      </w:r>
      <w:r w:rsidR="00FA26D2">
        <w:rPr>
          <w:rFonts w:ascii="Times New Roman" w:hAnsi="Times New Roman" w:cs="Times New Roman"/>
          <w:color w:val="222222"/>
          <w:sz w:val="24"/>
          <w:szCs w:val="24"/>
          <w:shd w:val="clear" w:color="auto" w:fill="FFFFFF"/>
        </w:rPr>
        <w:t>(</w:t>
      </w:r>
      <w:r w:rsidR="00FA26D2" w:rsidRPr="008216B0">
        <w:rPr>
          <w:rFonts w:ascii="Times New Roman" w:hAnsi="Times New Roman" w:cs="Times New Roman"/>
          <w:color w:val="222222"/>
          <w:sz w:val="24"/>
          <w:szCs w:val="24"/>
          <w:shd w:val="clear" w:color="auto" w:fill="FFFFFF"/>
        </w:rPr>
        <w:t>Veenendaal</w:t>
      </w:r>
      <w:r w:rsidR="00FA26D2">
        <w:rPr>
          <w:rFonts w:ascii="Times New Roman" w:hAnsi="Times New Roman" w:cs="Times New Roman"/>
          <w:color w:val="222222"/>
          <w:sz w:val="24"/>
          <w:szCs w:val="24"/>
          <w:shd w:val="clear" w:color="auto" w:fill="FFFFFF"/>
        </w:rPr>
        <w:t xml:space="preserve"> et al. </w:t>
      </w:r>
      <w:r w:rsidR="00796648">
        <w:rPr>
          <w:rFonts w:ascii="Times New Roman" w:hAnsi="Times New Roman" w:cs="Times New Roman"/>
          <w:color w:val="222222"/>
          <w:sz w:val="24"/>
          <w:szCs w:val="24"/>
          <w:shd w:val="clear" w:color="auto" w:fill="FFFFFF"/>
        </w:rPr>
        <w:t>551</w:t>
      </w:r>
      <w:r w:rsidR="00BE3F0A">
        <w:rPr>
          <w:rFonts w:ascii="Times New Roman" w:hAnsi="Times New Roman" w:cs="Times New Roman"/>
          <w:color w:val="222222"/>
          <w:sz w:val="24"/>
          <w:szCs w:val="24"/>
          <w:shd w:val="clear" w:color="auto" w:fill="FFFFFF"/>
        </w:rPr>
        <w:t>)</w:t>
      </w:r>
      <w:r w:rsidR="00BE3F0A">
        <w:rPr>
          <w:rFonts w:ascii="Times New Roman" w:hAnsi="Times New Roman" w:cs="Times New Roman"/>
          <w:sz w:val="24"/>
          <w:szCs w:val="24"/>
        </w:rPr>
        <w:t xml:space="preserve">. </w:t>
      </w:r>
      <w:r w:rsidRPr="008216B0">
        <w:rPr>
          <w:rFonts w:ascii="Times New Roman" w:hAnsi="Times New Roman" w:cs="Times New Roman"/>
          <w:sz w:val="24"/>
          <w:szCs w:val="24"/>
        </w:rPr>
        <w:t xml:space="preserve">In the US paternal trauma experienced by the ex-prisoners of war during the US civil war has been transmitted to their children by affecting their longevity. Studies have been conducted to determine whether this transmission can be reversed and the mechanisms of transmission.  </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Intergenerational transmission of paternal trauma</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Children who were born by the paternal ex-prisoners of war before and after the war within the same family have been compared to determine their health conditions and outcomes. Comparison has also been done between children born of ex-prisoners of war and those born of non-prisoners of war veterans. The studie</w:t>
      </w:r>
      <w:r w:rsidR="00FC62E4">
        <w:rPr>
          <w:rFonts w:ascii="Times New Roman" w:hAnsi="Times New Roman" w:cs="Times New Roman"/>
          <w:sz w:val="24"/>
          <w:szCs w:val="24"/>
        </w:rPr>
        <w:t>s include children who were delivered</w:t>
      </w:r>
      <w:r w:rsidR="00B005EE">
        <w:rPr>
          <w:rFonts w:ascii="Times New Roman" w:hAnsi="Times New Roman" w:cs="Times New Roman"/>
          <w:sz w:val="24"/>
          <w:szCs w:val="24"/>
        </w:rPr>
        <w:t xml:space="preserve"> later</w:t>
      </w:r>
      <w:r w:rsidRPr="008216B0">
        <w:rPr>
          <w:rFonts w:ascii="Times New Roman" w:hAnsi="Times New Roman" w:cs="Times New Roman"/>
          <w:sz w:val="24"/>
          <w:szCs w:val="24"/>
        </w:rPr>
        <w:t xml:space="preserve"> after the war and have survived to the age of 4</w:t>
      </w:r>
      <w:r w:rsidR="0024187D">
        <w:rPr>
          <w:rFonts w:ascii="Times New Roman" w:hAnsi="Times New Roman" w:cs="Times New Roman"/>
          <w:sz w:val="24"/>
          <w:szCs w:val="24"/>
        </w:rPr>
        <w:t>5 years.  Children who were born</w:t>
      </w:r>
      <w:r w:rsidRPr="008216B0">
        <w:rPr>
          <w:rFonts w:ascii="Times New Roman" w:hAnsi="Times New Roman" w:cs="Times New Roman"/>
          <w:sz w:val="24"/>
          <w:szCs w:val="24"/>
        </w:rPr>
        <w:t xml:space="preserve"> before the war and those born of non-prisoners of war have been used as controls for those born of ex-prisoners of war after the war. The third generation has been mostly focused on.</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The studies have shown that be</w:t>
      </w:r>
      <w:r w:rsidR="00A342C1">
        <w:rPr>
          <w:rFonts w:ascii="Times New Roman" w:hAnsi="Times New Roman" w:cs="Times New Roman"/>
          <w:sz w:val="24"/>
          <w:szCs w:val="24"/>
        </w:rPr>
        <w:t>tween the children who were delivered later</w:t>
      </w:r>
      <w:r w:rsidRPr="008216B0">
        <w:rPr>
          <w:rFonts w:ascii="Times New Roman" w:hAnsi="Times New Roman" w:cs="Times New Roman"/>
          <w:sz w:val="24"/>
          <w:szCs w:val="24"/>
        </w:rPr>
        <w:t xml:space="preserve"> after the war and have survived </w:t>
      </w:r>
      <w:r w:rsidR="00B017B1">
        <w:rPr>
          <w:rFonts w:ascii="Times New Roman" w:hAnsi="Times New Roman" w:cs="Times New Roman"/>
          <w:sz w:val="24"/>
          <w:szCs w:val="24"/>
        </w:rPr>
        <w:t>up</w:t>
      </w:r>
      <w:r w:rsidR="00B017B1" w:rsidRPr="008216B0">
        <w:rPr>
          <w:rFonts w:ascii="Times New Roman" w:hAnsi="Times New Roman" w:cs="Times New Roman"/>
          <w:sz w:val="24"/>
          <w:szCs w:val="24"/>
        </w:rPr>
        <w:t xml:space="preserve"> to</w:t>
      </w:r>
      <w:r w:rsidRPr="008216B0">
        <w:rPr>
          <w:rFonts w:ascii="Times New Roman" w:hAnsi="Times New Roman" w:cs="Times New Roman"/>
          <w:sz w:val="24"/>
          <w:szCs w:val="24"/>
        </w:rPr>
        <w:t xml:space="preserve"> 45 years of age, the probability to die of the sons born of ex-prisoners of war was 1.11 times higher than the sons born of non-prisoners of war.  The probability to die was also 1.09 higher than the sons born of ex-prisoners of war when the conditions in the camps were better. The sons of ex-prisoners of</w:t>
      </w:r>
      <w:r w:rsidR="00564933">
        <w:rPr>
          <w:rFonts w:ascii="Times New Roman" w:hAnsi="Times New Roman" w:cs="Times New Roman"/>
          <w:sz w:val="24"/>
          <w:szCs w:val="24"/>
        </w:rPr>
        <w:t xml:space="preserve"> war who were born when the</w:t>
      </w:r>
      <w:r w:rsidRPr="008216B0">
        <w:rPr>
          <w:rFonts w:ascii="Times New Roman" w:hAnsi="Times New Roman" w:cs="Times New Roman"/>
          <w:sz w:val="24"/>
          <w:szCs w:val="24"/>
        </w:rPr>
        <w:t xml:space="preserve"> conditions </w:t>
      </w:r>
      <w:r w:rsidR="00564933">
        <w:rPr>
          <w:rFonts w:ascii="Times New Roman" w:hAnsi="Times New Roman" w:cs="Times New Roman"/>
          <w:sz w:val="24"/>
          <w:szCs w:val="24"/>
        </w:rPr>
        <w:t>in the camp</w:t>
      </w:r>
      <w:r w:rsidR="005E5451">
        <w:rPr>
          <w:rFonts w:ascii="Times New Roman" w:hAnsi="Times New Roman" w:cs="Times New Roman"/>
          <w:sz w:val="24"/>
          <w:szCs w:val="24"/>
        </w:rPr>
        <w:t xml:space="preserve"> were finer</w:t>
      </w:r>
      <w:r w:rsidRPr="008216B0">
        <w:rPr>
          <w:rFonts w:ascii="Times New Roman" w:hAnsi="Times New Roman" w:cs="Times New Roman"/>
          <w:sz w:val="24"/>
          <w:szCs w:val="24"/>
        </w:rPr>
        <w:t xml:space="preserve"> and the sons of non-prisoners of war were similar. H</w:t>
      </w:r>
      <w:r w:rsidR="00F11965">
        <w:rPr>
          <w:rFonts w:ascii="Times New Roman" w:hAnsi="Times New Roman" w:cs="Times New Roman"/>
          <w:sz w:val="24"/>
          <w:szCs w:val="24"/>
        </w:rPr>
        <w:t xml:space="preserve">owever, this paternal status has </w:t>
      </w:r>
      <w:r w:rsidR="002E6BD5">
        <w:rPr>
          <w:rFonts w:ascii="Times New Roman" w:hAnsi="Times New Roman" w:cs="Times New Roman"/>
          <w:sz w:val="24"/>
          <w:szCs w:val="24"/>
        </w:rPr>
        <w:t>in</w:t>
      </w:r>
      <w:r w:rsidR="00F11965">
        <w:rPr>
          <w:rFonts w:ascii="Times New Roman" w:hAnsi="Times New Roman" w:cs="Times New Roman"/>
          <w:sz w:val="24"/>
          <w:szCs w:val="24"/>
        </w:rPr>
        <w:t>significant effects</w:t>
      </w:r>
      <w:r w:rsidRPr="008216B0">
        <w:rPr>
          <w:rFonts w:ascii="Times New Roman" w:hAnsi="Times New Roman" w:cs="Times New Roman"/>
          <w:sz w:val="24"/>
          <w:szCs w:val="24"/>
        </w:rPr>
        <w:t xml:space="preserve"> on the daughters.</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A similarity in the sex-specific pattern was observed i</w:t>
      </w:r>
      <w:r w:rsidR="00EE6ED5">
        <w:rPr>
          <w:rFonts w:ascii="Times New Roman" w:hAnsi="Times New Roman" w:cs="Times New Roman"/>
          <w:sz w:val="24"/>
          <w:szCs w:val="24"/>
        </w:rPr>
        <w:t>n families. In the families which have children of the same sex</w:t>
      </w:r>
      <w:r w:rsidRPr="008216B0">
        <w:rPr>
          <w:rFonts w:ascii="Times New Roman" w:hAnsi="Times New Roman" w:cs="Times New Roman"/>
          <w:sz w:val="24"/>
          <w:szCs w:val="24"/>
        </w:rPr>
        <w:t xml:space="preserve"> who were born before and after the war, there were no noticeable impacts of the paternal prisoners of war status for daughters who were born after the war but for the sons born of no exchange ex-prisoners of war and who were born after the war had their pr</w:t>
      </w:r>
      <w:r w:rsidR="00320B27">
        <w:rPr>
          <w:rFonts w:ascii="Times New Roman" w:hAnsi="Times New Roman" w:cs="Times New Roman"/>
          <w:sz w:val="24"/>
          <w:szCs w:val="24"/>
        </w:rPr>
        <w:t>obability of death at 2.23</w:t>
      </w:r>
      <w:r w:rsidRPr="008216B0">
        <w:rPr>
          <w:rFonts w:ascii="Times New Roman" w:hAnsi="Times New Roman" w:cs="Times New Roman"/>
          <w:sz w:val="24"/>
          <w:szCs w:val="24"/>
        </w:rPr>
        <w:t xml:space="preserve"> higher than those born before the war.</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lastRenderedPageBreak/>
        <w:t xml:space="preserve">The paternal ex-prisoners of war status had a minimal impact on the socioeconomic outcomes and the structure of the family among the sons.  The sons born of no exchange period ex-prisoners of war had a lower probability of becoming farmers than the sons born of non-prisoners of war or the exchange period prisoners of war. The sons born of no exchange period ex-prisoners of war had a higher probability of being homeowners in the 1920 and those who </w:t>
      </w:r>
      <w:r w:rsidR="0053567D">
        <w:rPr>
          <w:rFonts w:ascii="Times New Roman" w:hAnsi="Times New Roman" w:cs="Times New Roman"/>
          <w:sz w:val="24"/>
          <w:szCs w:val="24"/>
        </w:rPr>
        <w:t>survived up to 1940 had 0.3 extra</w:t>
      </w:r>
      <w:r w:rsidRPr="008216B0">
        <w:rPr>
          <w:rFonts w:ascii="Times New Roman" w:hAnsi="Times New Roman" w:cs="Times New Roman"/>
          <w:sz w:val="24"/>
          <w:szCs w:val="24"/>
        </w:rPr>
        <w:t xml:space="preserve"> years of acquiring education than the sons of non-prisoners of war. The sons of no exchange period prisoners of war were likely to live in the same city with their fathers at the age of 21 and if married, their chances of </w:t>
      </w:r>
      <w:r w:rsidR="00FD478B">
        <w:rPr>
          <w:rFonts w:ascii="Times New Roman" w:hAnsi="Times New Roman" w:cs="Times New Roman"/>
          <w:sz w:val="24"/>
          <w:szCs w:val="24"/>
        </w:rPr>
        <w:t>divorce were low compared to</w:t>
      </w:r>
      <w:r w:rsidRPr="008216B0">
        <w:rPr>
          <w:rFonts w:ascii="Times New Roman" w:hAnsi="Times New Roman" w:cs="Times New Roman"/>
          <w:sz w:val="24"/>
          <w:szCs w:val="24"/>
        </w:rPr>
        <w:t xml:space="preserve"> sons </w:t>
      </w:r>
      <w:r w:rsidR="00920FCD">
        <w:rPr>
          <w:rFonts w:ascii="Times New Roman" w:hAnsi="Times New Roman" w:cs="Times New Roman"/>
          <w:sz w:val="24"/>
          <w:szCs w:val="24"/>
        </w:rPr>
        <w:t xml:space="preserve">born </w:t>
      </w:r>
      <w:r w:rsidRPr="008216B0">
        <w:rPr>
          <w:rFonts w:ascii="Times New Roman" w:hAnsi="Times New Roman" w:cs="Times New Roman"/>
          <w:sz w:val="24"/>
          <w:szCs w:val="24"/>
        </w:rPr>
        <w:t>of non-prisoners of war or exchange period prisoners of war.</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 xml:space="preserve">The ex-prisoners of war status had no relationship with their wives’ family wealth but the wounded ex-prisoners of war married poor wives. The survival of the mothers was not affected by their husbands’ ex-prisoners of war status.  In 1900 the no exchange period ex-prisoners of war who were surviving had a dying probability of 1.14 higher than the non-prisoners of war. The impact of paternal ex-prisoners of war </w:t>
      </w:r>
      <w:r w:rsidR="0056731C">
        <w:rPr>
          <w:rFonts w:ascii="Times New Roman" w:hAnsi="Times New Roman" w:cs="Times New Roman"/>
          <w:sz w:val="24"/>
          <w:szCs w:val="24"/>
        </w:rPr>
        <w:t>in the period of no exchange</w:t>
      </w:r>
      <w:r w:rsidRPr="008216B0">
        <w:rPr>
          <w:rFonts w:ascii="Times New Roman" w:hAnsi="Times New Roman" w:cs="Times New Roman"/>
          <w:sz w:val="24"/>
          <w:szCs w:val="24"/>
        </w:rPr>
        <w:t xml:space="preserve"> was related to the effects of low socioeconomic status of the children when the cities were devastated by infectious disease.</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 xml:space="preserve">The higher mortality rate of the sons than the daughters was due to cerebral hemorrhage and from cancer. Births that occurred </w:t>
      </w:r>
      <w:r w:rsidR="005209DD">
        <w:rPr>
          <w:rFonts w:ascii="Times New Roman" w:hAnsi="Times New Roman" w:cs="Times New Roman"/>
          <w:sz w:val="24"/>
          <w:szCs w:val="24"/>
        </w:rPr>
        <w:t>i</w:t>
      </w:r>
      <w:r w:rsidRPr="008216B0">
        <w:rPr>
          <w:rFonts w:ascii="Times New Roman" w:hAnsi="Times New Roman" w:cs="Times New Roman"/>
          <w:sz w:val="24"/>
          <w:szCs w:val="24"/>
        </w:rPr>
        <w:t xml:space="preserve">n the second quarter intensified the paternal no exchange ex-prisoners of war status impacts while births in the fourth quarter eradicated the impacts. The sons of no exchange period ex-prisoners of war born in the second quarter had a dying probability of 1.2 higher than the sons of non-prisoners of war and no exchange period ex-prisoners of war. Sons </w:t>
      </w:r>
      <w:r w:rsidR="003A575D">
        <w:rPr>
          <w:rFonts w:ascii="Times New Roman" w:hAnsi="Times New Roman" w:cs="Times New Roman"/>
          <w:sz w:val="24"/>
          <w:szCs w:val="24"/>
        </w:rPr>
        <w:t xml:space="preserve">who were delivered </w:t>
      </w:r>
      <w:r w:rsidRPr="008216B0">
        <w:rPr>
          <w:rFonts w:ascii="Times New Roman" w:hAnsi="Times New Roman" w:cs="Times New Roman"/>
          <w:sz w:val="24"/>
          <w:szCs w:val="24"/>
        </w:rPr>
        <w:t>in the second quarter of no exchange prisoners of war had 1.1 higher chances of dying than the sons born in the fourth quarter of non-prisoners of war</w:t>
      </w:r>
      <w:r w:rsidR="00C45E9F" w:rsidRPr="00C45E9F">
        <w:rPr>
          <w:rFonts w:ascii="Times New Roman" w:hAnsi="Times New Roman" w:cs="Times New Roman"/>
          <w:color w:val="222222"/>
          <w:sz w:val="24"/>
          <w:szCs w:val="24"/>
          <w:shd w:val="clear" w:color="auto" w:fill="FFFFFF"/>
        </w:rPr>
        <w:t xml:space="preserve"> </w:t>
      </w:r>
      <w:r w:rsidR="00C45E9F">
        <w:rPr>
          <w:rFonts w:ascii="Times New Roman" w:hAnsi="Times New Roman" w:cs="Times New Roman"/>
          <w:color w:val="222222"/>
          <w:sz w:val="24"/>
          <w:szCs w:val="24"/>
          <w:shd w:val="clear" w:color="auto" w:fill="FFFFFF"/>
        </w:rPr>
        <w:t>(Costa &amp;</w:t>
      </w:r>
      <w:r w:rsidR="00C45E9F" w:rsidRPr="008216B0">
        <w:rPr>
          <w:rFonts w:ascii="Times New Roman" w:hAnsi="Times New Roman" w:cs="Times New Roman"/>
          <w:color w:val="222222"/>
          <w:sz w:val="24"/>
          <w:szCs w:val="24"/>
          <w:shd w:val="clear" w:color="auto" w:fill="FFFFFF"/>
        </w:rPr>
        <w:t xml:space="preserve"> Dora</w:t>
      </w:r>
      <w:r w:rsidR="00C45E9F">
        <w:rPr>
          <w:rFonts w:ascii="Times New Roman" w:hAnsi="Times New Roman" w:cs="Times New Roman"/>
          <w:color w:val="222222"/>
          <w:sz w:val="24"/>
          <w:szCs w:val="24"/>
          <w:shd w:val="clear" w:color="auto" w:fill="FFFFFF"/>
        </w:rPr>
        <w:t>, 1190</w:t>
      </w:r>
      <w:r w:rsidR="008D2E06">
        <w:rPr>
          <w:rFonts w:ascii="Times New Roman" w:hAnsi="Times New Roman" w:cs="Times New Roman"/>
          <w:color w:val="222222"/>
          <w:sz w:val="24"/>
          <w:szCs w:val="24"/>
          <w:shd w:val="clear" w:color="auto" w:fill="FFFFFF"/>
        </w:rPr>
        <w:t>)</w:t>
      </w:r>
      <w:r w:rsidR="008D2E06">
        <w:rPr>
          <w:rFonts w:ascii="Times New Roman" w:hAnsi="Times New Roman" w:cs="Times New Roman"/>
          <w:sz w:val="24"/>
          <w:szCs w:val="24"/>
        </w:rPr>
        <w:t xml:space="preserve">. </w:t>
      </w:r>
      <w:r w:rsidRPr="008216B0">
        <w:rPr>
          <w:rFonts w:ascii="Times New Roman" w:hAnsi="Times New Roman" w:cs="Times New Roman"/>
          <w:sz w:val="24"/>
          <w:szCs w:val="24"/>
        </w:rPr>
        <w:t xml:space="preserve">There were no significant impacts of this paternal ex-prisoner of war status in the sons </w:t>
      </w:r>
      <w:r w:rsidR="006A7FC7">
        <w:rPr>
          <w:rFonts w:ascii="Times New Roman" w:hAnsi="Times New Roman" w:cs="Times New Roman"/>
          <w:sz w:val="24"/>
          <w:szCs w:val="24"/>
        </w:rPr>
        <w:t>delivered</w:t>
      </w:r>
      <w:r w:rsidRPr="008216B0">
        <w:rPr>
          <w:rFonts w:ascii="Times New Roman" w:hAnsi="Times New Roman" w:cs="Times New Roman"/>
          <w:sz w:val="24"/>
          <w:szCs w:val="24"/>
        </w:rPr>
        <w:t xml:space="preserve"> in the fourth quarter.</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There is no proof that paternal ex-prisoners of war status is transmitted to children through socioeconomic channels. The effects of the ex-prisoners of war status on paternal but not on the socioeconomic status of the sons provide evidence that land lottery winners’ sons had poor socioeconomic outcomes than the sons born of the non-winners. The paternal ex-prisoners of war impacts on the mortality of older age sons but</w:t>
      </w:r>
      <w:r w:rsidR="00C068DD">
        <w:rPr>
          <w:rFonts w:ascii="Times New Roman" w:hAnsi="Times New Roman" w:cs="Times New Roman"/>
          <w:sz w:val="24"/>
          <w:szCs w:val="24"/>
        </w:rPr>
        <w:t xml:space="preserve"> does</w:t>
      </w:r>
      <w:r w:rsidRPr="008216B0">
        <w:rPr>
          <w:rFonts w:ascii="Times New Roman" w:hAnsi="Times New Roman" w:cs="Times New Roman"/>
          <w:sz w:val="24"/>
          <w:szCs w:val="24"/>
        </w:rPr>
        <w:t xml:space="preserve"> not</w:t>
      </w:r>
      <w:r w:rsidR="00C068DD">
        <w:rPr>
          <w:rFonts w:ascii="Times New Roman" w:hAnsi="Times New Roman" w:cs="Times New Roman"/>
          <w:sz w:val="24"/>
          <w:szCs w:val="24"/>
        </w:rPr>
        <w:t xml:space="preserve"> have impact</w:t>
      </w:r>
      <w:r w:rsidRPr="008216B0">
        <w:rPr>
          <w:rFonts w:ascii="Times New Roman" w:hAnsi="Times New Roman" w:cs="Times New Roman"/>
          <w:sz w:val="24"/>
          <w:szCs w:val="24"/>
        </w:rPr>
        <w:t xml:space="preserve"> in their socioeconomic status means that some of the health effects show up in older ages after determining socioeconomic outcomes.</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Ex-prisoners of war impacts have no impact on the quality of marriage because the war had over 80% bein</w:t>
      </w:r>
      <w:r w:rsidR="00467955">
        <w:rPr>
          <w:rFonts w:ascii="Times New Roman" w:hAnsi="Times New Roman" w:cs="Times New Roman"/>
          <w:sz w:val="24"/>
          <w:szCs w:val="24"/>
        </w:rPr>
        <w:t>g 18 years old and in which 14% deaths occurred among the army men</w:t>
      </w:r>
      <w:r w:rsidR="001E359E">
        <w:rPr>
          <w:rFonts w:ascii="Times New Roman" w:hAnsi="Times New Roman" w:cs="Times New Roman"/>
          <w:sz w:val="24"/>
          <w:szCs w:val="24"/>
        </w:rPr>
        <w:t xml:space="preserve"> reducing the number of desirable</w:t>
      </w:r>
      <w:r w:rsidRPr="008216B0">
        <w:rPr>
          <w:rFonts w:ascii="Times New Roman" w:hAnsi="Times New Roman" w:cs="Times New Roman"/>
          <w:sz w:val="24"/>
          <w:szCs w:val="24"/>
        </w:rPr>
        <w:t xml:space="preserve"> men. The fact th</w:t>
      </w:r>
      <w:r w:rsidR="004F60AE">
        <w:rPr>
          <w:rFonts w:ascii="Times New Roman" w:hAnsi="Times New Roman" w:cs="Times New Roman"/>
          <w:sz w:val="24"/>
          <w:szCs w:val="24"/>
        </w:rPr>
        <w:t>at sons who were delivered</w:t>
      </w:r>
      <w:r w:rsidRPr="008216B0">
        <w:rPr>
          <w:rFonts w:ascii="Times New Roman" w:hAnsi="Times New Roman" w:cs="Times New Roman"/>
          <w:sz w:val="24"/>
          <w:szCs w:val="24"/>
        </w:rPr>
        <w:t xml:space="preserve"> in the </w:t>
      </w:r>
      <w:r w:rsidR="004F60AE">
        <w:rPr>
          <w:rFonts w:ascii="Times New Roman" w:hAnsi="Times New Roman" w:cs="Times New Roman"/>
          <w:sz w:val="24"/>
          <w:szCs w:val="24"/>
        </w:rPr>
        <w:t>second quarter</w:t>
      </w:r>
      <w:r w:rsidRPr="008216B0">
        <w:rPr>
          <w:rFonts w:ascii="Times New Roman" w:hAnsi="Times New Roman" w:cs="Times New Roman"/>
          <w:sz w:val="24"/>
          <w:szCs w:val="24"/>
        </w:rPr>
        <w:t xml:space="preserve"> experienced the effects of paternal ex-prisoners of war status means that psychological transmission to boys particularly cannot be explained. There is also no direct proof for the pathopsychological effects of paternal ex-prisoners of war. Paternal ex-prisoners of war have no </w:t>
      </w:r>
      <w:r w:rsidRPr="008216B0">
        <w:rPr>
          <w:rFonts w:ascii="Times New Roman" w:hAnsi="Times New Roman" w:cs="Times New Roman"/>
          <w:sz w:val="24"/>
          <w:szCs w:val="24"/>
        </w:rPr>
        <w:lastRenderedPageBreak/>
        <w:t>effects on the structure of the family and the number of deaths as a result of suicides and accidents are not connected to the paternal ex-prisoners of war. Indirect effects might affect the mothers but they are not adequate to affect the mortality of mothers.</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The transmission of specific sex is persistent with an epigenetic effect whereby transmission takes place in the Y chromosome. The availability of food in the time of s</w:t>
      </w:r>
      <w:r w:rsidR="00EA6866">
        <w:rPr>
          <w:rFonts w:ascii="Times New Roman" w:hAnsi="Times New Roman" w:cs="Times New Roman"/>
          <w:sz w:val="24"/>
          <w:szCs w:val="24"/>
        </w:rPr>
        <w:t>low growth for the males impacts</w:t>
      </w:r>
      <w:r w:rsidRPr="008216B0">
        <w:rPr>
          <w:rFonts w:ascii="Times New Roman" w:hAnsi="Times New Roman" w:cs="Times New Roman"/>
          <w:sz w:val="24"/>
          <w:szCs w:val="24"/>
        </w:rPr>
        <w:t xml:space="preserve"> the survival of sons but </w:t>
      </w:r>
      <w:r w:rsidR="00C56676">
        <w:rPr>
          <w:rFonts w:ascii="Times New Roman" w:hAnsi="Times New Roman" w:cs="Times New Roman"/>
          <w:sz w:val="24"/>
          <w:szCs w:val="24"/>
        </w:rPr>
        <w:t xml:space="preserve">does </w:t>
      </w:r>
      <w:r w:rsidRPr="008216B0">
        <w:rPr>
          <w:rFonts w:ascii="Times New Roman" w:hAnsi="Times New Roman" w:cs="Times New Roman"/>
          <w:sz w:val="24"/>
          <w:szCs w:val="24"/>
        </w:rPr>
        <w:t xml:space="preserve">not </w:t>
      </w:r>
      <w:r w:rsidR="00C56676">
        <w:rPr>
          <w:rFonts w:ascii="Times New Roman" w:hAnsi="Times New Roman" w:cs="Times New Roman"/>
          <w:sz w:val="24"/>
          <w:szCs w:val="24"/>
        </w:rPr>
        <w:t xml:space="preserve">affect </w:t>
      </w:r>
      <w:r w:rsidRPr="008216B0">
        <w:rPr>
          <w:rFonts w:ascii="Times New Roman" w:hAnsi="Times New Roman" w:cs="Times New Roman"/>
          <w:sz w:val="24"/>
          <w:szCs w:val="24"/>
        </w:rPr>
        <w:t>the daughters and the longevity of the grandsons but not that of the granddaughters</w:t>
      </w:r>
      <w:r w:rsidR="006322A0" w:rsidRPr="006322A0">
        <w:rPr>
          <w:rFonts w:ascii="Times New Roman" w:hAnsi="Times New Roman" w:cs="Times New Roman"/>
          <w:color w:val="222222"/>
          <w:sz w:val="24"/>
          <w:szCs w:val="24"/>
          <w:shd w:val="clear" w:color="auto" w:fill="FFFFFF"/>
        </w:rPr>
        <w:t xml:space="preserve"> </w:t>
      </w:r>
      <w:r w:rsidR="006322A0">
        <w:rPr>
          <w:rFonts w:ascii="Times New Roman" w:hAnsi="Times New Roman" w:cs="Times New Roman"/>
          <w:color w:val="222222"/>
          <w:sz w:val="24"/>
          <w:szCs w:val="24"/>
          <w:shd w:val="clear" w:color="auto" w:fill="FFFFFF"/>
        </w:rPr>
        <w:t>(</w:t>
      </w:r>
      <w:r w:rsidR="006322A0" w:rsidRPr="008216B0">
        <w:rPr>
          <w:rFonts w:ascii="Times New Roman" w:hAnsi="Times New Roman" w:cs="Times New Roman"/>
          <w:color w:val="222222"/>
          <w:sz w:val="24"/>
          <w:szCs w:val="24"/>
          <w:shd w:val="clear" w:color="auto" w:fill="FFFFFF"/>
        </w:rPr>
        <w:t>Bygren</w:t>
      </w:r>
      <w:r w:rsidR="006322A0">
        <w:rPr>
          <w:rFonts w:ascii="Times New Roman" w:hAnsi="Times New Roman" w:cs="Times New Roman"/>
          <w:color w:val="222222"/>
          <w:sz w:val="24"/>
          <w:szCs w:val="24"/>
          <w:shd w:val="clear" w:color="auto" w:fill="FFFFFF"/>
        </w:rPr>
        <w:t xml:space="preserve"> et al. </w:t>
      </w:r>
      <w:r w:rsidR="007612A1">
        <w:rPr>
          <w:rFonts w:ascii="Times New Roman" w:hAnsi="Times New Roman" w:cs="Times New Roman"/>
          <w:color w:val="222222"/>
          <w:sz w:val="24"/>
          <w:szCs w:val="24"/>
          <w:shd w:val="clear" w:color="auto" w:fill="FFFFFF"/>
        </w:rPr>
        <w:t>56</w:t>
      </w:r>
      <w:r w:rsidR="006322A0">
        <w:rPr>
          <w:rFonts w:ascii="Times New Roman" w:hAnsi="Times New Roman" w:cs="Times New Roman"/>
          <w:color w:val="222222"/>
          <w:sz w:val="24"/>
          <w:szCs w:val="24"/>
          <w:shd w:val="clear" w:color="auto" w:fill="FFFFFF"/>
        </w:rPr>
        <w:t>)</w:t>
      </w:r>
      <w:r w:rsidR="006322A0">
        <w:rPr>
          <w:rFonts w:ascii="Times New Roman" w:hAnsi="Times New Roman" w:cs="Times New Roman"/>
          <w:sz w:val="24"/>
          <w:szCs w:val="24"/>
        </w:rPr>
        <w:t xml:space="preserve">. </w:t>
      </w:r>
      <w:r w:rsidRPr="008216B0">
        <w:rPr>
          <w:rFonts w:ascii="Times New Roman" w:hAnsi="Times New Roman" w:cs="Times New Roman"/>
          <w:sz w:val="24"/>
          <w:szCs w:val="24"/>
        </w:rPr>
        <w:t xml:space="preserve">Various gene ontology routes are connected to the line of maternal and paternal transmission of nutritional stress. Sexual dimorphism is considered a result of genetics and </w:t>
      </w:r>
      <w:r w:rsidR="001D0A88" w:rsidRPr="008216B0">
        <w:rPr>
          <w:rFonts w:ascii="Times New Roman" w:hAnsi="Times New Roman" w:cs="Times New Roman"/>
          <w:sz w:val="24"/>
          <w:szCs w:val="24"/>
        </w:rPr>
        <w:t>epigenetic</w:t>
      </w:r>
      <w:r w:rsidRPr="008216B0">
        <w:rPr>
          <w:rFonts w:ascii="Times New Roman" w:hAnsi="Times New Roman" w:cs="Times New Roman"/>
          <w:sz w:val="24"/>
          <w:szCs w:val="24"/>
        </w:rPr>
        <w:t>. The specific sex effects may be different among species.</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The rising deaths from cancer and cerebral hemorrhag</w:t>
      </w:r>
      <w:r w:rsidR="002201FA">
        <w:rPr>
          <w:rFonts w:ascii="Times New Roman" w:hAnsi="Times New Roman" w:cs="Times New Roman"/>
          <w:sz w:val="24"/>
          <w:szCs w:val="24"/>
        </w:rPr>
        <w:t>e are connected with the researches</w:t>
      </w:r>
      <w:r w:rsidRPr="008216B0">
        <w:rPr>
          <w:rFonts w:ascii="Times New Roman" w:hAnsi="Times New Roman" w:cs="Times New Roman"/>
          <w:sz w:val="24"/>
          <w:szCs w:val="24"/>
        </w:rPr>
        <w:t xml:space="preserve"> of animal epigenetic transmission of paternal diet. The paternal eating of mice has been linked to the male offspring raising the serum glucose which brings about hypertension which is </w:t>
      </w:r>
      <w:r w:rsidR="00713D46">
        <w:rPr>
          <w:rFonts w:ascii="Times New Roman" w:hAnsi="Times New Roman" w:cs="Times New Roman"/>
          <w:sz w:val="24"/>
          <w:szCs w:val="24"/>
        </w:rPr>
        <w:t xml:space="preserve">associated with </w:t>
      </w:r>
      <w:r w:rsidRPr="008216B0">
        <w:rPr>
          <w:rFonts w:ascii="Times New Roman" w:hAnsi="Times New Roman" w:cs="Times New Roman"/>
          <w:sz w:val="24"/>
          <w:szCs w:val="24"/>
        </w:rPr>
        <w:t>cer</w:t>
      </w:r>
      <w:r w:rsidR="00297C0B">
        <w:rPr>
          <w:rFonts w:ascii="Times New Roman" w:hAnsi="Times New Roman" w:cs="Times New Roman"/>
          <w:sz w:val="24"/>
          <w:szCs w:val="24"/>
        </w:rPr>
        <w:t>ebral hemorrhage. The inadequacy</w:t>
      </w:r>
      <w:r w:rsidRPr="008216B0">
        <w:rPr>
          <w:rFonts w:ascii="Times New Roman" w:hAnsi="Times New Roman" w:cs="Times New Roman"/>
          <w:sz w:val="24"/>
          <w:szCs w:val="24"/>
        </w:rPr>
        <w:t xml:space="preserve"> of folate in the diets of male mice affects the sperm epigenome such that the offspring may have a higher probability of contracting cancer. Researchers say that quarter of the birth impacts reflect inadequate nutrition in the past. Maternal supplements such as folic acid affect early development. Insufficient maternal</w:t>
      </w:r>
      <w:r w:rsidR="007673FC">
        <w:rPr>
          <w:rFonts w:ascii="Times New Roman" w:hAnsi="Times New Roman" w:cs="Times New Roman"/>
          <w:sz w:val="24"/>
          <w:szCs w:val="24"/>
        </w:rPr>
        <w:t xml:space="preserve"> nutrition in the late pregnancy when there are more needs for maternal nutrition can</w:t>
      </w:r>
      <w:r w:rsidRPr="008216B0">
        <w:rPr>
          <w:rFonts w:ascii="Times New Roman" w:hAnsi="Times New Roman" w:cs="Times New Roman"/>
          <w:sz w:val="24"/>
          <w:szCs w:val="24"/>
        </w:rPr>
        <w:t xml:space="preserve"> hinder or deteriorate remethylation. The psychological loss of parents in the period of their sons’ low growth projects the prematurity of the children and low birth weight.</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 xml:space="preserve">The mechanisms of the transmission of prisoners of war trauma may be psychological, biological, or socioeconomic. Low socioeconomic status parents are not as able as a higher socioeconomic status to keep their </w:t>
      </w:r>
      <w:r w:rsidR="00445DEC">
        <w:rPr>
          <w:rFonts w:ascii="Times New Roman" w:hAnsi="Times New Roman" w:cs="Times New Roman"/>
          <w:sz w:val="24"/>
          <w:szCs w:val="24"/>
        </w:rPr>
        <w:t>own children off the</w:t>
      </w:r>
      <w:r w:rsidRPr="008216B0">
        <w:rPr>
          <w:rFonts w:ascii="Times New Roman" w:hAnsi="Times New Roman" w:cs="Times New Roman"/>
          <w:sz w:val="24"/>
          <w:szCs w:val="24"/>
        </w:rPr>
        <w:t xml:space="preserve"> adverse health e</w:t>
      </w:r>
      <w:r w:rsidR="00D31957">
        <w:rPr>
          <w:rFonts w:ascii="Times New Roman" w:hAnsi="Times New Roman" w:cs="Times New Roman"/>
          <w:sz w:val="24"/>
          <w:szCs w:val="24"/>
        </w:rPr>
        <w:t xml:space="preserve">ffects. Bad </w:t>
      </w:r>
      <w:r w:rsidR="00D31957" w:rsidRPr="008216B0">
        <w:rPr>
          <w:rFonts w:ascii="Times New Roman" w:hAnsi="Times New Roman" w:cs="Times New Roman"/>
          <w:sz w:val="24"/>
          <w:szCs w:val="24"/>
        </w:rPr>
        <w:t>health</w:t>
      </w:r>
      <w:r w:rsidRPr="008216B0">
        <w:rPr>
          <w:rFonts w:ascii="Times New Roman" w:hAnsi="Times New Roman" w:cs="Times New Roman"/>
          <w:sz w:val="24"/>
          <w:szCs w:val="24"/>
        </w:rPr>
        <w:t xml:space="preserve"> may lead to bad matches in marriages. Psychological and cultural mechanisms may include behaviors and attitudes that have been acquired by children and childhood stresses due to violence. The biological mechanisms may include mutations to the sperm DNA, viruses, or epigenetic imprinting which may lead to the specific sex effects.</w:t>
      </w:r>
    </w:p>
    <w:p w:rsidR="00BE4068"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Conclusion</w:t>
      </w:r>
    </w:p>
    <w:p w:rsidR="002617FA" w:rsidRPr="008216B0" w:rsidRDefault="00BE4068" w:rsidP="00BE4068">
      <w:pPr>
        <w:rPr>
          <w:rFonts w:ascii="Times New Roman" w:hAnsi="Times New Roman" w:cs="Times New Roman"/>
          <w:sz w:val="24"/>
          <w:szCs w:val="24"/>
        </w:rPr>
      </w:pPr>
      <w:r w:rsidRPr="008216B0">
        <w:rPr>
          <w:rFonts w:ascii="Times New Roman" w:hAnsi="Times New Roman" w:cs="Times New Roman"/>
          <w:sz w:val="24"/>
          <w:szCs w:val="24"/>
        </w:rPr>
        <w:t>There has been a relationship between paternal stress and the longevity of the sons at older ages. From my own experience in the US, most of the children of ex-prisoners of war suffered psychological trauma. In my visit, I got the opportunity to interview some of the ex-prisoners of war sons who meant it clear to me that they suffered psychological trauma. From the interview, most of the sons born of ex-prisoners of war were more likely to die than the sons of the non-prisoners of war. My findings and the other findings by other researchers have provided proof for the transmission of paternal trauma in the future generati</w:t>
      </w:r>
      <w:r w:rsidR="00E4122C">
        <w:rPr>
          <w:rFonts w:ascii="Times New Roman" w:hAnsi="Times New Roman" w:cs="Times New Roman"/>
          <w:sz w:val="24"/>
          <w:szCs w:val="24"/>
        </w:rPr>
        <w:t xml:space="preserve">ons.  I recommend further </w:t>
      </w:r>
      <w:r w:rsidR="006777C3">
        <w:rPr>
          <w:rFonts w:ascii="Times New Roman" w:hAnsi="Times New Roman" w:cs="Times New Roman"/>
          <w:sz w:val="24"/>
          <w:szCs w:val="24"/>
        </w:rPr>
        <w:t>intergenerational transmission researches</w:t>
      </w:r>
      <w:r w:rsidRPr="008216B0">
        <w:rPr>
          <w:rFonts w:ascii="Times New Roman" w:hAnsi="Times New Roman" w:cs="Times New Roman"/>
          <w:sz w:val="24"/>
          <w:szCs w:val="24"/>
        </w:rPr>
        <w:t xml:space="preserve"> of this pate</w:t>
      </w:r>
      <w:r w:rsidR="006777C3">
        <w:rPr>
          <w:rFonts w:ascii="Times New Roman" w:hAnsi="Times New Roman" w:cs="Times New Roman"/>
          <w:sz w:val="24"/>
          <w:szCs w:val="24"/>
        </w:rPr>
        <w:t>rnal trauma in human generations</w:t>
      </w:r>
      <w:r w:rsidRPr="008216B0">
        <w:rPr>
          <w:rFonts w:ascii="Times New Roman" w:hAnsi="Times New Roman" w:cs="Times New Roman"/>
          <w:sz w:val="24"/>
          <w:szCs w:val="24"/>
        </w:rPr>
        <w:t xml:space="preserve">. There is </w:t>
      </w:r>
      <w:r w:rsidRPr="008216B0">
        <w:rPr>
          <w:rFonts w:ascii="Times New Roman" w:hAnsi="Times New Roman" w:cs="Times New Roman"/>
          <w:sz w:val="24"/>
          <w:szCs w:val="24"/>
        </w:rPr>
        <w:lastRenderedPageBreak/>
        <w:t xml:space="preserve">also the need for conducting </w:t>
      </w:r>
      <w:r w:rsidR="004D3FB2">
        <w:rPr>
          <w:rFonts w:ascii="Times New Roman" w:hAnsi="Times New Roman" w:cs="Times New Roman"/>
          <w:sz w:val="24"/>
          <w:szCs w:val="24"/>
        </w:rPr>
        <w:t>studies to explore whether the paternal trauma can be reversed</w:t>
      </w:r>
      <w:r w:rsidR="006F2696" w:rsidRPr="008216B0">
        <w:rPr>
          <w:rFonts w:ascii="Times New Roman" w:hAnsi="Times New Roman" w:cs="Times New Roman"/>
          <w:sz w:val="24"/>
          <w:szCs w:val="24"/>
        </w:rPr>
        <w:t xml:space="preserve"> and the long-term impacts of paternal ex- prisoners of war status on children. </w:t>
      </w:r>
    </w:p>
    <w:p w:rsidR="003C5DD2" w:rsidRDefault="003C5DD2" w:rsidP="00BE4068">
      <w:pPr>
        <w:rPr>
          <w:rFonts w:ascii="Times New Roman" w:hAnsi="Times New Roman" w:cs="Times New Roman"/>
          <w:sz w:val="24"/>
          <w:szCs w:val="24"/>
        </w:rPr>
      </w:pPr>
    </w:p>
    <w:p w:rsidR="003C5DD2" w:rsidRDefault="003C5DD2" w:rsidP="00BE4068">
      <w:pPr>
        <w:rPr>
          <w:rFonts w:ascii="Times New Roman" w:hAnsi="Times New Roman" w:cs="Times New Roman"/>
          <w:sz w:val="24"/>
          <w:szCs w:val="24"/>
        </w:rPr>
      </w:pPr>
    </w:p>
    <w:p w:rsidR="003C5DD2" w:rsidRDefault="003C5DD2" w:rsidP="00BE4068">
      <w:pPr>
        <w:rPr>
          <w:rFonts w:ascii="Times New Roman" w:hAnsi="Times New Roman" w:cs="Times New Roman"/>
          <w:sz w:val="24"/>
          <w:szCs w:val="24"/>
        </w:rPr>
      </w:pPr>
    </w:p>
    <w:p w:rsidR="003C5DD2" w:rsidRDefault="003C5DD2" w:rsidP="00BE4068">
      <w:pP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7416BB" w:rsidRDefault="007416BB" w:rsidP="003C5DD2">
      <w:pPr>
        <w:jc w:val="center"/>
        <w:rPr>
          <w:rFonts w:ascii="Times New Roman" w:hAnsi="Times New Roman" w:cs="Times New Roman"/>
          <w:sz w:val="24"/>
          <w:szCs w:val="24"/>
        </w:rPr>
      </w:pPr>
    </w:p>
    <w:p w:rsidR="00CD4882" w:rsidRPr="008216B0" w:rsidRDefault="00CD4882" w:rsidP="003C5DD2">
      <w:pPr>
        <w:jc w:val="center"/>
        <w:rPr>
          <w:rFonts w:ascii="Times New Roman" w:hAnsi="Times New Roman" w:cs="Times New Roman"/>
          <w:sz w:val="24"/>
          <w:szCs w:val="24"/>
        </w:rPr>
      </w:pPr>
      <w:r w:rsidRPr="008216B0">
        <w:rPr>
          <w:rFonts w:ascii="Times New Roman" w:hAnsi="Times New Roman" w:cs="Times New Roman"/>
          <w:sz w:val="24"/>
          <w:szCs w:val="24"/>
        </w:rPr>
        <w:lastRenderedPageBreak/>
        <w:t>References</w:t>
      </w:r>
    </w:p>
    <w:p w:rsidR="00B36AE7" w:rsidRPr="008216B0" w:rsidRDefault="00B36AE7" w:rsidP="003C5DD2">
      <w:pPr>
        <w:jc w:val="center"/>
        <w:rPr>
          <w:rFonts w:ascii="Times New Roman" w:hAnsi="Times New Roman" w:cs="Times New Roman"/>
          <w:color w:val="222222"/>
          <w:sz w:val="24"/>
          <w:szCs w:val="24"/>
          <w:shd w:val="clear" w:color="auto" w:fill="FFFFFF"/>
        </w:rPr>
      </w:pPr>
      <w:r w:rsidRPr="008216B0">
        <w:rPr>
          <w:rFonts w:ascii="Times New Roman" w:hAnsi="Times New Roman" w:cs="Times New Roman"/>
          <w:color w:val="222222"/>
          <w:sz w:val="24"/>
          <w:szCs w:val="24"/>
          <w:shd w:val="clear" w:color="auto" w:fill="FFFFFF"/>
        </w:rPr>
        <w:t>Veenendaal, Marjolein VE, et al. "Transgenerational effects of prenatal exposure to the 1944–45 Dutch famine." </w:t>
      </w:r>
      <w:r w:rsidRPr="008216B0">
        <w:rPr>
          <w:rFonts w:ascii="Times New Roman" w:hAnsi="Times New Roman" w:cs="Times New Roman"/>
          <w:i/>
          <w:iCs/>
          <w:color w:val="222222"/>
          <w:sz w:val="24"/>
          <w:szCs w:val="24"/>
          <w:shd w:val="clear" w:color="auto" w:fill="FFFFFF"/>
        </w:rPr>
        <w:t>BJOG: An International Journal of Obstetrics &amp; Gynaecology</w:t>
      </w:r>
      <w:r w:rsidRPr="008216B0">
        <w:rPr>
          <w:rFonts w:ascii="Times New Roman" w:hAnsi="Times New Roman" w:cs="Times New Roman"/>
          <w:color w:val="222222"/>
          <w:sz w:val="24"/>
          <w:szCs w:val="24"/>
          <w:shd w:val="clear" w:color="auto" w:fill="FFFFFF"/>
        </w:rPr>
        <w:t> 120.5 (2013): 548-554.</w:t>
      </w:r>
    </w:p>
    <w:p w:rsidR="00B36AE7" w:rsidRPr="008216B0" w:rsidRDefault="00F21A7C" w:rsidP="003C5DD2">
      <w:pPr>
        <w:jc w:val="center"/>
        <w:rPr>
          <w:rFonts w:ascii="Times New Roman" w:hAnsi="Times New Roman" w:cs="Times New Roman"/>
          <w:color w:val="222222"/>
          <w:sz w:val="24"/>
          <w:szCs w:val="24"/>
          <w:shd w:val="clear" w:color="auto" w:fill="FFFFFF"/>
        </w:rPr>
      </w:pPr>
      <w:r w:rsidRPr="008216B0">
        <w:rPr>
          <w:rFonts w:ascii="Times New Roman" w:hAnsi="Times New Roman" w:cs="Times New Roman"/>
          <w:color w:val="222222"/>
          <w:sz w:val="24"/>
          <w:szCs w:val="24"/>
          <w:shd w:val="clear" w:color="auto" w:fill="FFFFFF"/>
        </w:rPr>
        <w:t>Bygren, Lars Olov, Gunnar Kaati, and Sören Edvinsson. "Longevity determined by paternal ancestors' nutrition during their slow growth period." </w:t>
      </w:r>
      <w:r w:rsidRPr="008216B0">
        <w:rPr>
          <w:rFonts w:ascii="Times New Roman" w:hAnsi="Times New Roman" w:cs="Times New Roman"/>
          <w:i/>
          <w:iCs/>
          <w:color w:val="222222"/>
          <w:sz w:val="24"/>
          <w:szCs w:val="24"/>
          <w:shd w:val="clear" w:color="auto" w:fill="FFFFFF"/>
        </w:rPr>
        <w:t>Acta biotheoretica</w:t>
      </w:r>
      <w:r w:rsidRPr="008216B0">
        <w:rPr>
          <w:rFonts w:ascii="Times New Roman" w:hAnsi="Times New Roman" w:cs="Times New Roman"/>
          <w:color w:val="222222"/>
          <w:sz w:val="24"/>
          <w:szCs w:val="24"/>
          <w:shd w:val="clear" w:color="auto" w:fill="FFFFFF"/>
        </w:rPr>
        <w:t> 49.1 (2001): 53-59.</w:t>
      </w:r>
    </w:p>
    <w:p w:rsidR="00F21A7C" w:rsidRPr="008216B0" w:rsidRDefault="00BF5856" w:rsidP="003C5DD2">
      <w:pPr>
        <w:jc w:val="center"/>
        <w:rPr>
          <w:rFonts w:ascii="Times New Roman" w:hAnsi="Times New Roman" w:cs="Times New Roman"/>
          <w:sz w:val="24"/>
          <w:szCs w:val="24"/>
        </w:rPr>
      </w:pPr>
      <w:r w:rsidRPr="008216B0">
        <w:rPr>
          <w:rFonts w:ascii="Times New Roman" w:hAnsi="Times New Roman" w:cs="Times New Roman"/>
          <w:color w:val="222222"/>
          <w:sz w:val="24"/>
          <w:szCs w:val="24"/>
          <w:shd w:val="clear" w:color="auto" w:fill="FFFFFF"/>
        </w:rPr>
        <w:t>Costa, Dora L. "Scarring and mortality selection among Civil War POWs: A long-term mortality, morbidity, and socioeconomic follow-up." </w:t>
      </w:r>
      <w:r w:rsidRPr="008216B0">
        <w:rPr>
          <w:rFonts w:ascii="Times New Roman" w:hAnsi="Times New Roman" w:cs="Times New Roman"/>
          <w:i/>
          <w:iCs/>
          <w:color w:val="222222"/>
          <w:sz w:val="24"/>
          <w:szCs w:val="24"/>
          <w:shd w:val="clear" w:color="auto" w:fill="FFFFFF"/>
        </w:rPr>
        <w:t>Demography</w:t>
      </w:r>
      <w:r w:rsidRPr="008216B0">
        <w:rPr>
          <w:rFonts w:ascii="Times New Roman" w:hAnsi="Times New Roman" w:cs="Times New Roman"/>
          <w:color w:val="222222"/>
          <w:sz w:val="24"/>
          <w:szCs w:val="24"/>
          <w:shd w:val="clear" w:color="auto" w:fill="FFFFFF"/>
        </w:rPr>
        <w:t> 49.4 (2012): 1185-1206.</w:t>
      </w:r>
    </w:p>
    <w:p w:rsidR="00CD4882" w:rsidRPr="008216B0" w:rsidRDefault="00CD4882" w:rsidP="003C5DD2">
      <w:pPr>
        <w:jc w:val="center"/>
        <w:rPr>
          <w:rFonts w:ascii="Times New Roman" w:hAnsi="Times New Roman" w:cs="Times New Roman"/>
          <w:sz w:val="24"/>
          <w:szCs w:val="24"/>
        </w:rPr>
      </w:pPr>
    </w:p>
    <w:sectPr w:rsidR="00CD4882" w:rsidRPr="008216B0" w:rsidSect="00EB709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7DA5" w:rsidRDefault="00C37DA5" w:rsidP="008216B0">
      <w:pPr>
        <w:spacing w:after="0" w:line="240" w:lineRule="auto"/>
      </w:pPr>
      <w:r>
        <w:separator/>
      </w:r>
    </w:p>
  </w:endnote>
  <w:endnote w:type="continuationSeparator" w:id="1">
    <w:p w:rsidR="00C37DA5" w:rsidRDefault="00C37DA5" w:rsidP="008216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7DA5" w:rsidRDefault="00C37DA5" w:rsidP="008216B0">
      <w:pPr>
        <w:spacing w:after="0" w:line="240" w:lineRule="auto"/>
      </w:pPr>
      <w:r>
        <w:separator/>
      </w:r>
    </w:p>
  </w:footnote>
  <w:footnote w:type="continuationSeparator" w:id="1">
    <w:p w:rsidR="00C37DA5" w:rsidRDefault="00C37DA5" w:rsidP="008216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14411"/>
      <w:docPartObj>
        <w:docPartGallery w:val="Page Numbers (Top of Page)"/>
        <w:docPartUnique/>
      </w:docPartObj>
    </w:sdtPr>
    <w:sdtContent>
      <w:p w:rsidR="008216B0" w:rsidRDefault="008216B0">
        <w:pPr>
          <w:pStyle w:val="Header"/>
          <w:jc w:val="right"/>
        </w:pPr>
        <w:r>
          <w:t xml:space="preserve">Surname </w:t>
        </w:r>
        <w:fldSimple w:instr=" PAGE   \* MERGEFORMAT ">
          <w:r w:rsidR="003300FB">
            <w:rPr>
              <w:noProof/>
            </w:rPr>
            <w:t>4</w:t>
          </w:r>
        </w:fldSimple>
      </w:p>
    </w:sdtContent>
  </w:sdt>
  <w:p w:rsidR="008216B0" w:rsidRDefault="008216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5950"/>
    <w:rsid w:val="00013AF9"/>
    <w:rsid w:val="00016CCF"/>
    <w:rsid w:val="00021EE9"/>
    <w:rsid w:val="00024A48"/>
    <w:rsid w:val="00027FA2"/>
    <w:rsid w:val="00041A2A"/>
    <w:rsid w:val="00043191"/>
    <w:rsid w:val="00056D90"/>
    <w:rsid w:val="000626EF"/>
    <w:rsid w:val="00063B5D"/>
    <w:rsid w:val="00065A35"/>
    <w:rsid w:val="0007008D"/>
    <w:rsid w:val="0007268B"/>
    <w:rsid w:val="0009008A"/>
    <w:rsid w:val="000908FA"/>
    <w:rsid w:val="000922FF"/>
    <w:rsid w:val="000954CB"/>
    <w:rsid w:val="000A401D"/>
    <w:rsid w:val="000B0D61"/>
    <w:rsid w:val="000B416B"/>
    <w:rsid w:val="000B4A85"/>
    <w:rsid w:val="000B4FBD"/>
    <w:rsid w:val="000B704F"/>
    <w:rsid w:val="000B71C0"/>
    <w:rsid w:val="000C6B07"/>
    <w:rsid w:val="000D64E9"/>
    <w:rsid w:val="000D7246"/>
    <w:rsid w:val="000F49CB"/>
    <w:rsid w:val="000F6067"/>
    <w:rsid w:val="00102E53"/>
    <w:rsid w:val="00115D47"/>
    <w:rsid w:val="001160C9"/>
    <w:rsid w:val="00122751"/>
    <w:rsid w:val="001236A1"/>
    <w:rsid w:val="00126414"/>
    <w:rsid w:val="0013330A"/>
    <w:rsid w:val="001353FF"/>
    <w:rsid w:val="001500AC"/>
    <w:rsid w:val="00163B34"/>
    <w:rsid w:val="00166762"/>
    <w:rsid w:val="00166D96"/>
    <w:rsid w:val="001777AF"/>
    <w:rsid w:val="00182EB1"/>
    <w:rsid w:val="00184228"/>
    <w:rsid w:val="00184843"/>
    <w:rsid w:val="001920F3"/>
    <w:rsid w:val="00196A2B"/>
    <w:rsid w:val="00196F14"/>
    <w:rsid w:val="001B0BA7"/>
    <w:rsid w:val="001B1F09"/>
    <w:rsid w:val="001B2331"/>
    <w:rsid w:val="001B376F"/>
    <w:rsid w:val="001B40B3"/>
    <w:rsid w:val="001C0C55"/>
    <w:rsid w:val="001C1037"/>
    <w:rsid w:val="001C4198"/>
    <w:rsid w:val="001C6819"/>
    <w:rsid w:val="001D0A88"/>
    <w:rsid w:val="001D13DB"/>
    <w:rsid w:val="001D15A6"/>
    <w:rsid w:val="001D65D0"/>
    <w:rsid w:val="001D6733"/>
    <w:rsid w:val="001E359E"/>
    <w:rsid w:val="001E602D"/>
    <w:rsid w:val="001F3F7B"/>
    <w:rsid w:val="00201BF4"/>
    <w:rsid w:val="00202748"/>
    <w:rsid w:val="00215D19"/>
    <w:rsid w:val="002201FA"/>
    <w:rsid w:val="0024187D"/>
    <w:rsid w:val="002617FA"/>
    <w:rsid w:val="00265027"/>
    <w:rsid w:val="00275C2D"/>
    <w:rsid w:val="00290F8F"/>
    <w:rsid w:val="00295BB6"/>
    <w:rsid w:val="00297C0B"/>
    <w:rsid w:val="002A0F59"/>
    <w:rsid w:val="002B12A2"/>
    <w:rsid w:val="002B1AFF"/>
    <w:rsid w:val="002B2CA9"/>
    <w:rsid w:val="002C1B48"/>
    <w:rsid w:val="002C1D48"/>
    <w:rsid w:val="002C4F44"/>
    <w:rsid w:val="002C61CB"/>
    <w:rsid w:val="002D2141"/>
    <w:rsid w:val="002D4CC6"/>
    <w:rsid w:val="002D7072"/>
    <w:rsid w:val="002E0983"/>
    <w:rsid w:val="002E1A84"/>
    <w:rsid w:val="002E3010"/>
    <w:rsid w:val="002E6BD5"/>
    <w:rsid w:val="002E7A56"/>
    <w:rsid w:val="002F1121"/>
    <w:rsid w:val="002F2AB8"/>
    <w:rsid w:val="00311CCC"/>
    <w:rsid w:val="00320B27"/>
    <w:rsid w:val="00321A8D"/>
    <w:rsid w:val="00321C2D"/>
    <w:rsid w:val="00322629"/>
    <w:rsid w:val="003300FB"/>
    <w:rsid w:val="0033127A"/>
    <w:rsid w:val="00331533"/>
    <w:rsid w:val="003422D8"/>
    <w:rsid w:val="003462EA"/>
    <w:rsid w:val="00346758"/>
    <w:rsid w:val="00355BA8"/>
    <w:rsid w:val="00356687"/>
    <w:rsid w:val="00363E07"/>
    <w:rsid w:val="00370C4B"/>
    <w:rsid w:val="003754B4"/>
    <w:rsid w:val="0038681A"/>
    <w:rsid w:val="00387384"/>
    <w:rsid w:val="00391F2A"/>
    <w:rsid w:val="003934B0"/>
    <w:rsid w:val="00397511"/>
    <w:rsid w:val="003A25DE"/>
    <w:rsid w:val="003A575D"/>
    <w:rsid w:val="003B54E5"/>
    <w:rsid w:val="003B7118"/>
    <w:rsid w:val="003C5A80"/>
    <w:rsid w:val="003C5DD2"/>
    <w:rsid w:val="003D13F6"/>
    <w:rsid w:val="003E3688"/>
    <w:rsid w:val="003E3721"/>
    <w:rsid w:val="00411356"/>
    <w:rsid w:val="00414A58"/>
    <w:rsid w:val="00425A70"/>
    <w:rsid w:val="004338F1"/>
    <w:rsid w:val="0043477A"/>
    <w:rsid w:val="00436AE9"/>
    <w:rsid w:val="00445DEC"/>
    <w:rsid w:val="00461F42"/>
    <w:rsid w:val="00464310"/>
    <w:rsid w:val="00467955"/>
    <w:rsid w:val="0048084D"/>
    <w:rsid w:val="00480E90"/>
    <w:rsid w:val="004864BC"/>
    <w:rsid w:val="004867CC"/>
    <w:rsid w:val="00487A88"/>
    <w:rsid w:val="00487C04"/>
    <w:rsid w:val="0049389C"/>
    <w:rsid w:val="004C1E9B"/>
    <w:rsid w:val="004C40E8"/>
    <w:rsid w:val="004C61C4"/>
    <w:rsid w:val="004D3163"/>
    <w:rsid w:val="004D3FB2"/>
    <w:rsid w:val="004F3237"/>
    <w:rsid w:val="004F4058"/>
    <w:rsid w:val="004F60AE"/>
    <w:rsid w:val="004F77A3"/>
    <w:rsid w:val="00504032"/>
    <w:rsid w:val="005054E1"/>
    <w:rsid w:val="00513920"/>
    <w:rsid w:val="005160AE"/>
    <w:rsid w:val="005209DD"/>
    <w:rsid w:val="00526B94"/>
    <w:rsid w:val="0052791F"/>
    <w:rsid w:val="005302F4"/>
    <w:rsid w:val="005324B4"/>
    <w:rsid w:val="0053567D"/>
    <w:rsid w:val="00536D72"/>
    <w:rsid w:val="005518A3"/>
    <w:rsid w:val="00551C00"/>
    <w:rsid w:val="00556707"/>
    <w:rsid w:val="00563FAC"/>
    <w:rsid w:val="00564933"/>
    <w:rsid w:val="0056731C"/>
    <w:rsid w:val="0057462D"/>
    <w:rsid w:val="00586DC1"/>
    <w:rsid w:val="00587813"/>
    <w:rsid w:val="0059247B"/>
    <w:rsid w:val="005A3CF8"/>
    <w:rsid w:val="005B0B82"/>
    <w:rsid w:val="005B3B0A"/>
    <w:rsid w:val="005B5C21"/>
    <w:rsid w:val="005B5F60"/>
    <w:rsid w:val="005B62DA"/>
    <w:rsid w:val="005C110C"/>
    <w:rsid w:val="005C22F3"/>
    <w:rsid w:val="005C2A7E"/>
    <w:rsid w:val="005C4D8C"/>
    <w:rsid w:val="005E50B4"/>
    <w:rsid w:val="005E5451"/>
    <w:rsid w:val="005F259C"/>
    <w:rsid w:val="005F50E6"/>
    <w:rsid w:val="005F641E"/>
    <w:rsid w:val="006053ED"/>
    <w:rsid w:val="0062361D"/>
    <w:rsid w:val="006322A0"/>
    <w:rsid w:val="00641D06"/>
    <w:rsid w:val="00642E9A"/>
    <w:rsid w:val="00646F7B"/>
    <w:rsid w:val="00650352"/>
    <w:rsid w:val="00651EAA"/>
    <w:rsid w:val="00653BCA"/>
    <w:rsid w:val="00656F8D"/>
    <w:rsid w:val="00661F4B"/>
    <w:rsid w:val="00667C5A"/>
    <w:rsid w:val="006777C3"/>
    <w:rsid w:val="00680D31"/>
    <w:rsid w:val="0068520F"/>
    <w:rsid w:val="00690CEE"/>
    <w:rsid w:val="00692DB9"/>
    <w:rsid w:val="00693C1B"/>
    <w:rsid w:val="006A48D3"/>
    <w:rsid w:val="006A7FC7"/>
    <w:rsid w:val="006B20DD"/>
    <w:rsid w:val="006B2A82"/>
    <w:rsid w:val="006B2E10"/>
    <w:rsid w:val="006B3BE4"/>
    <w:rsid w:val="006B4C74"/>
    <w:rsid w:val="006C00F8"/>
    <w:rsid w:val="006D2EF9"/>
    <w:rsid w:val="006D5349"/>
    <w:rsid w:val="006E429E"/>
    <w:rsid w:val="006F2696"/>
    <w:rsid w:val="007033CE"/>
    <w:rsid w:val="0070461D"/>
    <w:rsid w:val="00706BBA"/>
    <w:rsid w:val="00713D46"/>
    <w:rsid w:val="007153EF"/>
    <w:rsid w:val="007213AC"/>
    <w:rsid w:val="00722082"/>
    <w:rsid w:val="0074063F"/>
    <w:rsid w:val="007416BB"/>
    <w:rsid w:val="00755585"/>
    <w:rsid w:val="007563FE"/>
    <w:rsid w:val="007612A1"/>
    <w:rsid w:val="00761B72"/>
    <w:rsid w:val="00761E68"/>
    <w:rsid w:val="007673FC"/>
    <w:rsid w:val="00773B03"/>
    <w:rsid w:val="00782EB7"/>
    <w:rsid w:val="00787056"/>
    <w:rsid w:val="0079140E"/>
    <w:rsid w:val="00795631"/>
    <w:rsid w:val="00796648"/>
    <w:rsid w:val="007A0EA7"/>
    <w:rsid w:val="007A42B2"/>
    <w:rsid w:val="007B3E9A"/>
    <w:rsid w:val="007F1B27"/>
    <w:rsid w:val="007F44C1"/>
    <w:rsid w:val="008166AA"/>
    <w:rsid w:val="008216B0"/>
    <w:rsid w:val="008370AF"/>
    <w:rsid w:val="00845950"/>
    <w:rsid w:val="0084709E"/>
    <w:rsid w:val="00864AA5"/>
    <w:rsid w:val="00873BDF"/>
    <w:rsid w:val="008746A5"/>
    <w:rsid w:val="00881FCD"/>
    <w:rsid w:val="00884215"/>
    <w:rsid w:val="00894919"/>
    <w:rsid w:val="0089790E"/>
    <w:rsid w:val="008A248C"/>
    <w:rsid w:val="008A46C3"/>
    <w:rsid w:val="008C10FD"/>
    <w:rsid w:val="008D2E06"/>
    <w:rsid w:val="008E303D"/>
    <w:rsid w:val="008E3771"/>
    <w:rsid w:val="008E37F0"/>
    <w:rsid w:val="008F11E4"/>
    <w:rsid w:val="008F3010"/>
    <w:rsid w:val="00902B4E"/>
    <w:rsid w:val="009124EE"/>
    <w:rsid w:val="0091645D"/>
    <w:rsid w:val="00920FCD"/>
    <w:rsid w:val="009216F7"/>
    <w:rsid w:val="009263A6"/>
    <w:rsid w:val="0093262E"/>
    <w:rsid w:val="00933118"/>
    <w:rsid w:val="00943695"/>
    <w:rsid w:val="00951A82"/>
    <w:rsid w:val="00953ECC"/>
    <w:rsid w:val="0096119F"/>
    <w:rsid w:val="00966819"/>
    <w:rsid w:val="00974B62"/>
    <w:rsid w:val="00975E17"/>
    <w:rsid w:val="00980D3D"/>
    <w:rsid w:val="009A3FAA"/>
    <w:rsid w:val="009C4270"/>
    <w:rsid w:val="009C6487"/>
    <w:rsid w:val="009D0E73"/>
    <w:rsid w:val="009D1496"/>
    <w:rsid w:val="009D4DCD"/>
    <w:rsid w:val="009E45FE"/>
    <w:rsid w:val="009F11F2"/>
    <w:rsid w:val="009F3A94"/>
    <w:rsid w:val="00A11D57"/>
    <w:rsid w:val="00A1294F"/>
    <w:rsid w:val="00A13C5C"/>
    <w:rsid w:val="00A20DFD"/>
    <w:rsid w:val="00A2598A"/>
    <w:rsid w:val="00A342C1"/>
    <w:rsid w:val="00A42026"/>
    <w:rsid w:val="00A439E7"/>
    <w:rsid w:val="00A47F53"/>
    <w:rsid w:val="00A517BA"/>
    <w:rsid w:val="00A67C87"/>
    <w:rsid w:val="00A70047"/>
    <w:rsid w:val="00A80202"/>
    <w:rsid w:val="00A853E8"/>
    <w:rsid w:val="00AA30A7"/>
    <w:rsid w:val="00AA61CB"/>
    <w:rsid w:val="00AA6641"/>
    <w:rsid w:val="00AA7E56"/>
    <w:rsid w:val="00AB31FE"/>
    <w:rsid w:val="00AB4AF6"/>
    <w:rsid w:val="00AC089C"/>
    <w:rsid w:val="00AF03ED"/>
    <w:rsid w:val="00B005EE"/>
    <w:rsid w:val="00B017B1"/>
    <w:rsid w:val="00B04769"/>
    <w:rsid w:val="00B06D38"/>
    <w:rsid w:val="00B13905"/>
    <w:rsid w:val="00B16EF6"/>
    <w:rsid w:val="00B17AC1"/>
    <w:rsid w:val="00B33D0C"/>
    <w:rsid w:val="00B369D9"/>
    <w:rsid w:val="00B36AE7"/>
    <w:rsid w:val="00B4550F"/>
    <w:rsid w:val="00B45558"/>
    <w:rsid w:val="00B5469A"/>
    <w:rsid w:val="00B63D00"/>
    <w:rsid w:val="00B652F4"/>
    <w:rsid w:val="00B67CF6"/>
    <w:rsid w:val="00B93D13"/>
    <w:rsid w:val="00BA010E"/>
    <w:rsid w:val="00BA05AB"/>
    <w:rsid w:val="00BA1A31"/>
    <w:rsid w:val="00BA29CD"/>
    <w:rsid w:val="00BA3BAE"/>
    <w:rsid w:val="00BA6279"/>
    <w:rsid w:val="00BC1D64"/>
    <w:rsid w:val="00BC7F0C"/>
    <w:rsid w:val="00BD7883"/>
    <w:rsid w:val="00BE3F0A"/>
    <w:rsid w:val="00BE4068"/>
    <w:rsid w:val="00BF392A"/>
    <w:rsid w:val="00BF4E3D"/>
    <w:rsid w:val="00BF5856"/>
    <w:rsid w:val="00BF76B8"/>
    <w:rsid w:val="00C068DD"/>
    <w:rsid w:val="00C072AF"/>
    <w:rsid w:val="00C11E4E"/>
    <w:rsid w:val="00C13BBD"/>
    <w:rsid w:val="00C1490A"/>
    <w:rsid w:val="00C206A8"/>
    <w:rsid w:val="00C25794"/>
    <w:rsid w:val="00C258F5"/>
    <w:rsid w:val="00C30E06"/>
    <w:rsid w:val="00C31833"/>
    <w:rsid w:val="00C3230C"/>
    <w:rsid w:val="00C3277F"/>
    <w:rsid w:val="00C35E38"/>
    <w:rsid w:val="00C37DA5"/>
    <w:rsid w:val="00C409DF"/>
    <w:rsid w:val="00C443BC"/>
    <w:rsid w:val="00C44D40"/>
    <w:rsid w:val="00C45E9F"/>
    <w:rsid w:val="00C509D0"/>
    <w:rsid w:val="00C5241A"/>
    <w:rsid w:val="00C56676"/>
    <w:rsid w:val="00C61B14"/>
    <w:rsid w:val="00C62406"/>
    <w:rsid w:val="00C639FC"/>
    <w:rsid w:val="00C67D54"/>
    <w:rsid w:val="00C7028E"/>
    <w:rsid w:val="00C76C72"/>
    <w:rsid w:val="00C76E48"/>
    <w:rsid w:val="00C80945"/>
    <w:rsid w:val="00C82F73"/>
    <w:rsid w:val="00C83904"/>
    <w:rsid w:val="00C878C8"/>
    <w:rsid w:val="00CA1E2F"/>
    <w:rsid w:val="00CA3B10"/>
    <w:rsid w:val="00CB07F7"/>
    <w:rsid w:val="00CB1242"/>
    <w:rsid w:val="00CC1BE0"/>
    <w:rsid w:val="00CC4003"/>
    <w:rsid w:val="00CC4210"/>
    <w:rsid w:val="00CD4882"/>
    <w:rsid w:val="00CE6ACB"/>
    <w:rsid w:val="00CF548C"/>
    <w:rsid w:val="00CF58E5"/>
    <w:rsid w:val="00D03A61"/>
    <w:rsid w:val="00D115BC"/>
    <w:rsid w:val="00D13DC9"/>
    <w:rsid w:val="00D22250"/>
    <w:rsid w:val="00D24413"/>
    <w:rsid w:val="00D31957"/>
    <w:rsid w:val="00D3293B"/>
    <w:rsid w:val="00D37AC6"/>
    <w:rsid w:val="00D525C9"/>
    <w:rsid w:val="00D70994"/>
    <w:rsid w:val="00D748A1"/>
    <w:rsid w:val="00D76885"/>
    <w:rsid w:val="00D81D81"/>
    <w:rsid w:val="00D84303"/>
    <w:rsid w:val="00D96AAB"/>
    <w:rsid w:val="00DB0160"/>
    <w:rsid w:val="00DB1D2E"/>
    <w:rsid w:val="00DB67B5"/>
    <w:rsid w:val="00DC5BF0"/>
    <w:rsid w:val="00DE1CD6"/>
    <w:rsid w:val="00DE445D"/>
    <w:rsid w:val="00DE6D01"/>
    <w:rsid w:val="00DE76D0"/>
    <w:rsid w:val="00DE7996"/>
    <w:rsid w:val="00DF0496"/>
    <w:rsid w:val="00DF320E"/>
    <w:rsid w:val="00DF4372"/>
    <w:rsid w:val="00E124A7"/>
    <w:rsid w:val="00E13527"/>
    <w:rsid w:val="00E20F33"/>
    <w:rsid w:val="00E21329"/>
    <w:rsid w:val="00E27D4E"/>
    <w:rsid w:val="00E4122C"/>
    <w:rsid w:val="00E457F9"/>
    <w:rsid w:val="00E46198"/>
    <w:rsid w:val="00E507F5"/>
    <w:rsid w:val="00E53540"/>
    <w:rsid w:val="00E60377"/>
    <w:rsid w:val="00E639E4"/>
    <w:rsid w:val="00E6530F"/>
    <w:rsid w:val="00E71891"/>
    <w:rsid w:val="00E742C9"/>
    <w:rsid w:val="00E82D55"/>
    <w:rsid w:val="00E83203"/>
    <w:rsid w:val="00E8773F"/>
    <w:rsid w:val="00EA04A2"/>
    <w:rsid w:val="00EA0A0C"/>
    <w:rsid w:val="00EA0D73"/>
    <w:rsid w:val="00EA6866"/>
    <w:rsid w:val="00EB20D0"/>
    <w:rsid w:val="00EB4A44"/>
    <w:rsid w:val="00EB7091"/>
    <w:rsid w:val="00EC0AC8"/>
    <w:rsid w:val="00EE6ED5"/>
    <w:rsid w:val="00EF3AB3"/>
    <w:rsid w:val="00F04689"/>
    <w:rsid w:val="00F11965"/>
    <w:rsid w:val="00F21A7C"/>
    <w:rsid w:val="00F25F1B"/>
    <w:rsid w:val="00F31BDD"/>
    <w:rsid w:val="00F325CF"/>
    <w:rsid w:val="00F32C5E"/>
    <w:rsid w:val="00F3301D"/>
    <w:rsid w:val="00F3407A"/>
    <w:rsid w:val="00F40D0F"/>
    <w:rsid w:val="00F42BDC"/>
    <w:rsid w:val="00F438BE"/>
    <w:rsid w:val="00F443C5"/>
    <w:rsid w:val="00F478C7"/>
    <w:rsid w:val="00F5123E"/>
    <w:rsid w:val="00F51F55"/>
    <w:rsid w:val="00F64F5A"/>
    <w:rsid w:val="00F72DA3"/>
    <w:rsid w:val="00F803F0"/>
    <w:rsid w:val="00F81E54"/>
    <w:rsid w:val="00F820AA"/>
    <w:rsid w:val="00F84A8B"/>
    <w:rsid w:val="00F91B6D"/>
    <w:rsid w:val="00F949EC"/>
    <w:rsid w:val="00FA26D2"/>
    <w:rsid w:val="00FA432F"/>
    <w:rsid w:val="00FB5CB9"/>
    <w:rsid w:val="00FB7C19"/>
    <w:rsid w:val="00FC0592"/>
    <w:rsid w:val="00FC4039"/>
    <w:rsid w:val="00FC62E4"/>
    <w:rsid w:val="00FC7A34"/>
    <w:rsid w:val="00FD22E9"/>
    <w:rsid w:val="00FD25AA"/>
    <w:rsid w:val="00FD478B"/>
    <w:rsid w:val="00FD48DF"/>
    <w:rsid w:val="00FD4B74"/>
    <w:rsid w:val="00FD5097"/>
    <w:rsid w:val="00FD544C"/>
    <w:rsid w:val="00FE0FCA"/>
    <w:rsid w:val="00FE33CF"/>
    <w:rsid w:val="00FF1DB5"/>
    <w:rsid w:val="00FF71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6B0"/>
  </w:style>
  <w:style w:type="paragraph" w:styleId="Footer">
    <w:name w:val="footer"/>
    <w:basedOn w:val="Normal"/>
    <w:link w:val="FooterChar"/>
    <w:uiPriority w:val="99"/>
    <w:semiHidden/>
    <w:unhideWhenUsed/>
    <w:rsid w:val="008216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16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505</cp:revision>
  <dcterms:created xsi:type="dcterms:W3CDTF">2020-12-17T04:29:00Z</dcterms:created>
  <dcterms:modified xsi:type="dcterms:W3CDTF">2020-12-17T21:42:00Z</dcterms:modified>
</cp:coreProperties>
</file>